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="428.625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Документ устанавливает четкие правила отчисления с учетом: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Оснований (от успешного завершения до нарушений).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Процедуры (сроки, документы, особые условия).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Прав студентов (например, запрет отчисления во время болезни).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qoufkdyc985x" w:id="0"/>
      <w:bookmarkEnd w:id="0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Цель документа – регламентировать порядок отчисления обучающихся из Сеченовского университета по всем образовательным программам.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Нормативная база: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404040"/>
          <w:sz w:val="24"/>
          <w:szCs w:val="24"/>
          <w:rtl w:val="0"/>
        </w:rPr>
        <w:t xml:space="preserve">Федеральный закон №273-ФЗ «Об образовании в РФ».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20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Устав университета и локальные акты.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jlkqw8brz56q" w:id="1"/>
      <w:bookmarkEnd w:id="1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2. Основания для отчисления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 завершении обучения (после успешной итоговой аттестации).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 инициативе обучающегося (включая перевод в другой вуз).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 инициативе университета: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дисциплинарные нарушения (для студентов старше 15 лет).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академическую неуспеваемость.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просрочку оплаты (для платников).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действия, делающие невозможным оказание образовательных услуг.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нарушения при поступлении (незаконное зачисление).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 независящим обстоятельствам (например, ликвидация вуза).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44ycuuin1ct7" w:id="2"/>
      <w:bookmarkEnd w:id="2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3. Процедура отчисления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Дата отчисления – указывается в приказе (если не указана – дата издания приказа).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Документы: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отчисления по собственному желанию – заявление (через личный кабинет или на бумаге).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дисциплинарного отчисления – акт о нарушении, объяснительная студента, мнение студсовета.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отчисления за неуспеваемость – представление от института с данными о задолженностях.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Сроки оформления приказа: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 заявлению студента – 1 рабочий день.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20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нарушения – не позднее 1 месяца с момента выявления проступка.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edxbl2z0soic" w:id="3"/>
      <w:bookmarkEnd w:id="3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4. Особые случаи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Отчисление во время болезни/отпуска – запрещено (кроме добровольного отчисления).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несовершеннолетних – уведомление органов местного самоуправления.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При переводе в другой вуз – требуется справка о согласии принимающего вуза.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ct74drrdaxs7" w:id="4"/>
      <w:bookmarkEnd w:id="4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5. Выдача документов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После завершения обучения: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Диплом – в течение 10 дней после приказа.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При досрочном отчислении: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Справка об обучении (кроме случаев незаконного зачисления).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Плата за документы не взимается.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pd9hdi47q4yc" w:id="5"/>
      <w:bookmarkEnd w:id="5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6. Ответственность сотрудников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hd w:fill="ffffff" w:val="clear"/>
        <w:spacing w:after="20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За недостоверные сведения или нарушение процедуры – дисциплинарное взыскание.</w:t>
      </w:r>
    </w:p>
    <w:p w:rsidR="00000000" w:rsidDel="00000000" w:rsidP="00000000" w:rsidRDefault="00000000" w:rsidRPr="00000000" w14:paraId="00000029">
      <w:pPr>
        <w:shd w:fill="ffffff" w:val="clear"/>
        <w:spacing w:after="200" w:before="260" w:lineRule="auto"/>
        <w:ind w:left="720" w:firstLine="0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00" w:before="200" w:line="428.625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Ключевое: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Дисциплинарное отчисление – только за повторные нарушения и с учетом мнения студсовета.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Академическое отчисление – после неудачной промежуточной аттестации.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Документы выдаются бесплатно в установленные сроки.</w:t>
      </w:r>
    </w:p>
    <w:p w:rsidR="00000000" w:rsidDel="00000000" w:rsidP="00000000" w:rsidRDefault="00000000" w:rsidRPr="00000000" w14:paraId="0000002E">
      <w:pPr>
        <w:shd w:fill="ffffff" w:val="clear"/>
        <w:spacing w:before="260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Правила отчисления обучающихся.pdf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a0bwD6-n76INRNZpi0F4iNIb8zDMmVe5/view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